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265.0" w:type="dxa"/>
        <w:jc w:val="left"/>
        <w:tblInd w:w="-30.0" w:type="dxa"/>
        <w:tblLayout w:type="fixed"/>
        <w:tblLook w:val="0400"/>
      </w:tblPr>
      <w:tblGrid>
        <w:gridCol w:w="3049"/>
        <w:gridCol w:w="2826"/>
        <w:gridCol w:w="920"/>
        <w:gridCol w:w="3470"/>
        <w:tblGridChange w:id="0">
          <w:tblGrid>
            <w:gridCol w:w="3049"/>
            <w:gridCol w:w="2826"/>
            <w:gridCol w:w="920"/>
            <w:gridCol w:w="3470"/>
          </w:tblGrid>
        </w:tblGridChange>
      </w:tblGrid>
      <w:tr>
        <w:tc>
          <w:tcPr>
            <w:gridSpan w:val="2"/>
            <w:tcBorders>
              <w:top w:color="000000" w:space="0" w:sz="6" w:val="single"/>
              <w:left w:color="000000" w:space="0" w:sz="6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ОАО Банк "Тинькофф" г. Санкт-Петербург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БИК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5"/>
                <w:szCs w:val="15"/>
                <w:highlight w:val="white"/>
                <w:rtl w:val="0"/>
              </w:rPr>
              <w:t xml:space="preserve">044525974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6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Банк получателя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Сч. №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5"/>
                <w:szCs w:val="15"/>
                <w:highlight w:val="white"/>
                <w:rtl w:val="0"/>
              </w:rPr>
              <w:t xml:space="preserve">40702810710000000723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ИНН  ХХХХХХХХХХ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КПП  ХХХХХХХХХ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Сч. 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5"/>
                <w:szCs w:val="15"/>
                <w:highlight w:val="white"/>
                <w:rtl w:val="0"/>
              </w:rPr>
              <w:t xml:space="preserve">30101810145250000974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6" w:val="single"/>
              <w:left w:color="000000" w:space="0" w:sz="6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ХХХ «ХХХХХХХХХХ»</w:t>
            </w:r>
          </w:p>
        </w:tc>
        <w:tc>
          <w:tcPr>
            <w:tcBorders>
              <w:left w:color="000000" w:space="0" w:sz="6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6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Получатель</w:t>
            </w:r>
          </w:p>
        </w:tc>
        <w:tc>
          <w:tcPr>
            <w:tcBorders>
              <w:left w:color="000000" w:space="0" w:sz="6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 </w:t>
            </w:r>
          </w:p>
        </w:tc>
      </w:tr>
      <w:t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Назначение платежа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5"/>
                <w:szCs w:val="15"/>
                <w:rtl w:val="0"/>
              </w:rPr>
              <w:t xml:space="preserve">Оплата по сч. ХХХ от хх.хх.хххх</w:t>
            </w: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 за неисключительные права на использование ПО для ЭВМ по лицензионному договору,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5"/>
                <w:szCs w:val="15"/>
                <w:rtl w:val="0"/>
              </w:rPr>
              <w:t xml:space="preserve">без налога (НДС)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80" w:before="10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0" w:line="240" w:lineRule="auto"/>
        <w:contextualSpacing w:val="0"/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СЧЕТ-ОФЕРТА №XXX от XX.XX.XXXX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0355.0" w:type="dxa"/>
        <w:jc w:val="left"/>
        <w:tblInd w:w="-75.0" w:type="dxa"/>
        <w:tblLayout w:type="fixed"/>
        <w:tblLook w:val="0400"/>
      </w:tblPr>
      <w:tblGrid>
        <w:gridCol w:w="1505"/>
        <w:gridCol w:w="8850"/>
        <w:tblGridChange w:id="0">
          <w:tblGrid>
            <w:gridCol w:w="1505"/>
            <w:gridCol w:w="8850"/>
          </w:tblGrid>
        </w:tblGridChange>
      </w:tblGrid>
      <w:tr>
        <w:tc>
          <w:tcPr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Лицензиар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ООО «Цитадель», ИНН/КПП: </w:t>
            </w: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7814530786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781401001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  <w:br w:type="textWrapping"/>
              <w:t xml:space="preserve">197373, г.Санкт-Петербург, пр-кт Авиаконструкторов, д.4, к.1, оф.275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Лицензиат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ХХХ «ХХХХХ», ИНН/КПП: ХХХХХХХХХХ/ХХХХХХХХХ</w:t>
              <w:br w:type="textWrapping"/>
              <w:t xml:space="preserve">хххххх, г. хххххх, ул. ххххххх, д.ххх, тел.: (ххх) ххх-хх-хх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10305.0" w:type="dxa"/>
        <w:jc w:val="left"/>
        <w:tblInd w:w="-30.0" w:type="dxa"/>
        <w:tblLayout w:type="fixed"/>
        <w:tblLook w:val="0400"/>
      </w:tblPr>
      <w:tblGrid>
        <w:gridCol w:w="412"/>
        <w:gridCol w:w="5868"/>
        <w:gridCol w:w="1013"/>
        <w:gridCol w:w="1405"/>
        <w:gridCol w:w="1607"/>
        <w:tblGridChange w:id="0">
          <w:tblGrid>
            <w:gridCol w:w="412"/>
            <w:gridCol w:w="5868"/>
            <w:gridCol w:w="1013"/>
            <w:gridCol w:w="1405"/>
            <w:gridCol w:w="160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e2e2e2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7"/>
                <w:szCs w:val="17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e2e2e2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Наименование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e2e2e2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Кол-во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e2e2e2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Цена, руб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2e2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Сумма, руб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Лицензия на «1С-Битрикс24» 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Без налога (НДС)*: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-</w:t>
            </w:r>
          </w:p>
        </w:tc>
      </w:tr>
      <w:t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highlight w:val="white"/>
          <w:rtl w:val="0"/>
        </w:rPr>
        <w:t xml:space="preserve">*НДС не облагается (пп.26 п.2 ст.149 НК РФ)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28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Итого к оплате: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000000"/>
          <w:sz w:val="12"/>
          <w:szCs w:val="12"/>
          <w:rtl w:val="0"/>
        </w:rPr>
        <w:t xml:space="preserve">Настоящий Счет-оферта (далее – «Счет») является письменным предложением (офертой) Лицензиара заключить лицензионный договор, которое направляется Лицензиату в соответствии со ст.432-444 Гражданского Кодекса РФ (далее – «ГК РФ»). Лицензионный договор (неисключительная лицензия) заключается путем принятия (акцепта) оферты Лицензиатом в установленном порядке (п.3 ст.438 ГК РФ), что считается соблюдением письменной формы договора (п.3 ст.434 ГК РФ). Под указанными в оферте следующими терминами понимаются их нижеуказанные значения: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2"/>
          <w:szCs w:val="12"/>
          <w:rtl w:val="0"/>
        </w:rPr>
        <w:t xml:space="preserve">Правообладатель – </w:t>
      </w:r>
      <w:r w:rsidDel="00000000" w:rsidR="00000000" w:rsidRPr="00000000">
        <w:rPr>
          <w:rFonts w:ascii="Verdana" w:cs="Verdana" w:eastAsia="Verdana" w:hAnsi="Verdana"/>
          <w:color w:val="000000"/>
          <w:sz w:val="12"/>
          <w:szCs w:val="12"/>
          <w:rtl w:val="0"/>
        </w:rPr>
        <w:t xml:space="preserve">лицо, обладающие исключительным правом на ПО и/или лица, правомерно обладающие на соответствующей территории всем тем необходимым объемом прав на использование ПО, включая право на предоставление разрешений на использование ПО (сублицензирование), который предоставляется Лицензиату по Договору.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2"/>
          <w:szCs w:val="12"/>
          <w:rtl w:val="0"/>
        </w:rPr>
        <w:t xml:space="preserve">Лицензионное соглашение</w:t>
      </w:r>
      <w:r w:rsidDel="00000000" w:rsidR="00000000" w:rsidRPr="00000000">
        <w:rPr>
          <w:rFonts w:ascii="Verdana" w:cs="Verdana" w:eastAsia="Verdana" w:hAnsi="Verdana"/>
          <w:color w:val="000000"/>
          <w:sz w:val="12"/>
          <w:szCs w:val="12"/>
          <w:rtl w:val="0"/>
        </w:rPr>
        <w:t xml:space="preserve"> – соглашение между Правообладателем и Лицензиатом, которое предусматривает полномочия и ограничения использования Лицензиатом ПО, и условия которого безоговорочно принимаются Лицензиатом во время инсталляции ПО.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2"/>
          <w:szCs w:val="12"/>
          <w:rtl w:val="0"/>
        </w:rPr>
        <w:t xml:space="preserve">Условия оферты: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000000"/>
          <w:sz w:val="12"/>
          <w:szCs w:val="12"/>
          <w:rtl w:val="0"/>
        </w:rPr>
        <w:t xml:space="preserve">1. Предметом лицензионного договора является предоставление Лицензиаром прав на использование указанного в Счете программного обеспечения для ЭВМ (ПО) и/или расширение прав на использование соответствующего ПО (Расширений).</w:t>
        <w:br w:type="textWrapping"/>
        <w:t xml:space="preserve">2.Вознаграждением Лицензиара по лицензионному договору является сумма, указанная в Счете.</w:t>
        <w:br w:type="textWrapping"/>
        <w:t xml:space="preserve">3. Существенным условием заключения лицензионного договора является полная единовременная оплата Лицензиатом настоящего Счета, которая будет считаться единственно возможным надлежащим акцептом данной оферты (п.3 ст.438 ГК РФ).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2"/>
          <w:szCs w:val="12"/>
          <w:u w:val="single"/>
          <w:rtl w:val="0"/>
        </w:rPr>
        <w:t xml:space="preserve">Оплата Счета без указания номера Счета в платежном поручении и/или третьим лицом не допускается</w:t>
      </w:r>
      <w:r w:rsidDel="00000000" w:rsidR="00000000" w:rsidRPr="00000000">
        <w:rPr>
          <w:rFonts w:ascii="Verdana" w:cs="Verdana" w:eastAsia="Verdana" w:hAnsi="Verdana"/>
          <w:color w:val="000000"/>
          <w:sz w:val="12"/>
          <w:szCs w:val="12"/>
          <w:rtl w:val="0"/>
        </w:rPr>
        <w:t xml:space="preserve"> и не считается акцептом настоящей оферты.</w:t>
        <w:br w:type="textWrapping"/>
        <w:t xml:space="preserve">4. Лицензиар гарантирует, что получил от Правообладателя и правомерно обладает всем необходимым объемом прав, который предоставляется Лицензиату по лицензионному договору.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000000"/>
          <w:sz w:val="12"/>
          <w:szCs w:val="12"/>
          <w:rtl w:val="0"/>
        </w:rPr>
        <w:t xml:space="preserve">5. 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2"/>
          <w:szCs w:val="12"/>
          <w:rtl w:val="0"/>
        </w:rPr>
        <w:t xml:space="preserve">Счет действителен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2"/>
          <w:szCs w:val="12"/>
          <w:highlight w:val="yellow"/>
          <w:rtl w:val="0"/>
        </w:rPr>
        <w:t xml:space="preserve">в течение 30 (тридцати) календарных дней</w:t>
      </w:r>
      <w:r w:rsidDel="00000000" w:rsidR="00000000" w:rsidRPr="00000000">
        <w:rPr>
          <w:rFonts w:ascii="Verdana" w:cs="Verdana" w:eastAsia="Verdana" w:hAnsi="Verdana"/>
          <w:color w:val="000000"/>
          <w:sz w:val="12"/>
          <w:szCs w:val="12"/>
          <w:rtl w:val="0"/>
        </w:rPr>
        <w:t xml:space="preserve"> с указанной в нем даты выставления (срок для акцепта оферты).</w:t>
        <w:br w:type="textWrapping"/>
        <w:t xml:space="preserve">6. Лицензиат обязуется не нарушать авторские права Правообладателя.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000000"/>
          <w:sz w:val="12"/>
          <w:szCs w:val="12"/>
          <w:rtl w:val="0"/>
        </w:rPr>
        <w:t xml:space="preserve">7. Права по настоящему лицензионному договору предоставляются с момента его заключения. Лицензиар составляет и направляет Лицензиату соответствующий Акт. В случае, если направленный Акт не подписан Лицензиатом и/или второй его экземпляр не возвращен Лицензиару, а письменные мотивированные возражения со стороны Лицензиата не получены Лицензиаром в течение 10 (десяти) рабочих дней, Акт считается утвержденным Лицензиатом.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000000"/>
          <w:sz w:val="12"/>
          <w:szCs w:val="12"/>
          <w:rtl w:val="0"/>
        </w:rPr>
        <w:t xml:space="preserve">8. Лицензиат имеет правов рамках каждой лицензии использовать одну копию ПО путем воспроизведения посредством инсталляции и/или запуска в порядке, предусмотренном пользовательским Лицензионным соглашением на соответствующее ПО, а также пользовательской (технической) документацией, и исключительно для самостоятельного использования Лицензиатом без права сублицензирования третьих лиц. Принимая настоящую оферту, Лицензиат подтверждает, что надлежащим образом ознакомлен и согласен с положениями, требованиями и ограничениями пользовательских Лицензионных соглашений, технической и иной документацией по всему соответствующему ПО, указанному в настоящем Счете.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000000"/>
          <w:sz w:val="12"/>
          <w:szCs w:val="12"/>
          <w:rtl w:val="0"/>
        </w:rPr>
        <w:t xml:space="preserve">9. 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2"/>
          <w:szCs w:val="12"/>
          <w:rtl w:val="0"/>
        </w:rPr>
        <w:t xml:space="preserve">Срок, на который предоставляются права на использование ПО</w:t>
      </w:r>
      <w:r w:rsidDel="00000000" w:rsidR="00000000" w:rsidRPr="00000000">
        <w:rPr>
          <w:rFonts w:ascii="Verdana" w:cs="Verdana" w:eastAsia="Verdana" w:hAnsi="Verdana"/>
          <w:color w:val="000000"/>
          <w:sz w:val="12"/>
          <w:szCs w:val="12"/>
          <w:rtl w:val="0"/>
        </w:rPr>
        <w:t xml:space="preserve">,определяется следующим образом: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000000"/>
          <w:sz w:val="12"/>
          <w:szCs w:val="12"/>
          <w:rtl w:val="0"/>
        </w:rPr>
        <w:t xml:space="preserve">9.1. на ПО, </w:t>
      </w:r>
      <w:r w:rsidDel="00000000" w:rsidR="00000000" w:rsidRPr="00000000">
        <w:rPr>
          <w:rFonts w:ascii="Verdana" w:cs="Verdana" w:eastAsia="Verdana" w:hAnsi="Verdana"/>
          <w:sz w:val="12"/>
          <w:szCs w:val="12"/>
          <w:rtl w:val="0"/>
        </w:rPr>
        <w:t xml:space="preserve">срок использования которых указан рядом с наименованием -на соответствующий срок</w:t>
      </w:r>
      <w:r w:rsidDel="00000000" w:rsidR="00000000" w:rsidRPr="00000000">
        <w:rPr>
          <w:rFonts w:ascii="Verdana" w:cs="Verdana" w:eastAsia="Verdana" w:hAnsi="Verdana"/>
          <w:color w:val="000000"/>
          <w:sz w:val="12"/>
          <w:szCs w:val="12"/>
          <w:rtl w:val="0"/>
        </w:rPr>
        <w:t xml:space="preserve">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000000"/>
          <w:sz w:val="12"/>
          <w:szCs w:val="12"/>
          <w:rtl w:val="0"/>
        </w:rPr>
        <w:t xml:space="preserve">9.2. на ПО, </w:t>
      </w:r>
      <w:r w:rsidDel="00000000" w:rsidR="00000000" w:rsidRPr="00000000">
        <w:rPr>
          <w:rFonts w:ascii="Verdana" w:cs="Verdana" w:eastAsia="Verdana" w:hAnsi="Verdana"/>
          <w:sz w:val="12"/>
          <w:szCs w:val="12"/>
          <w:rtl w:val="0"/>
        </w:rPr>
        <w:t xml:space="preserve">содержащие в наименовании «1С-Битрикс» - на срок один год на условиях Стандартной лицензии, изложенных в Лицензионном соглашении, а при переходе с одной редакции Программы на другую – на срок до окончания действия Стандартной лицензии на ту редакцию Программы, с которой осуществляется переход</w:t>
      </w:r>
      <w:r w:rsidDel="00000000" w:rsidR="00000000" w:rsidRPr="00000000">
        <w:rPr>
          <w:rFonts w:ascii="Verdana" w:cs="Verdana" w:eastAsia="Verdana" w:hAnsi="Verdana"/>
          <w:color w:val="000000"/>
          <w:sz w:val="12"/>
          <w:szCs w:val="12"/>
          <w:rtl w:val="0"/>
        </w:rPr>
        <w:t xml:space="preserve">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000000"/>
          <w:sz w:val="12"/>
          <w:szCs w:val="12"/>
          <w:rtl w:val="0"/>
        </w:rPr>
        <w:t xml:space="preserve">9.3. на остальное ПО – на весь срок действия исключительных прав на него (ст.1281 ГК РФ) и на условиях, изложенных в Лицензионном соглашении.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000000"/>
          <w:sz w:val="12"/>
          <w:szCs w:val="12"/>
          <w:rtl w:val="0"/>
        </w:rPr>
        <w:t xml:space="preserve">10. Порядок применения и использования Лицензиатом указанных в Счете Расширений определяется пользовательским Лицензионным соглашением на соответствующее ПО.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000000"/>
          <w:sz w:val="12"/>
          <w:szCs w:val="12"/>
          <w:rtl w:val="0"/>
        </w:rPr>
        <w:t xml:space="preserve">11. Любые споры, которые могут возникнуть между Лицензиаром и Лицензиатом в связи с настоящей офертой и/или лицензионным договором, подлежат рассмотрению по месту нахождения Лицензиара.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Генеральный директор _________________/_______________/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Главный бухгалтер _________________/_______________/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МП</w:t>
      </w:r>
    </w:p>
    <w:sectPr>
      <w:pgSz w:h="16838" w:w="11906"/>
      <w:pgMar w:bottom="426" w:top="426" w:left="1134" w:right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Verdana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